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A235"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PUBLIC RECORD STATEMENT</w:t>
      </w:r>
    </w:p>
    <w:p w14:paraId="75C3BF77" w14:textId="77777777" w:rsidR="00601555" w:rsidRDefault="00601555" w:rsidP="00601555">
      <w:pPr>
        <w:shd w:val="clear" w:color="auto" w:fill="FFFFFF"/>
        <w:rPr>
          <w:rFonts w:eastAsia="Times New Roman" w:cstheme="minorHAnsi"/>
          <w:b/>
          <w:bCs/>
        </w:rPr>
      </w:pPr>
      <w:r w:rsidRPr="009016B9">
        <w:rPr>
          <w:rFonts w:eastAsia="Times New Roman" w:cstheme="minorHAnsi"/>
          <w:b/>
          <w:bCs/>
        </w:rPr>
        <w:t>DATE:</w:t>
      </w:r>
      <w:r w:rsidRPr="009016B9">
        <w:rPr>
          <w:rFonts w:eastAsia="Times New Roman" w:cstheme="minorHAnsi"/>
        </w:rPr>
        <w:t xml:space="preserve"> May 27, 2026</w:t>
      </w:r>
    </w:p>
    <w:p w14:paraId="71952DDD" w14:textId="77777777" w:rsidR="00601555" w:rsidRPr="007B584D" w:rsidRDefault="00601555" w:rsidP="00601555">
      <w:pPr>
        <w:shd w:val="clear" w:color="auto" w:fill="FFFFFF"/>
        <w:rPr>
          <w:rFonts w:ascii="Calibri" w:eastAsia="Times New Roman" w:hAnsi="Calibri" w:cs="Calibri"/>
          <w:color w:val="222222"/>
        </w:rPr>
      </w:pPr>
      <w:r w:rsidRPr="009016B9">
        <w:rPr>
          <w:rFonts w:eastAsia="Times New Roman" w:cstheme="minorHAnsi"/>
          <w:b/>
          <w:bCs/>
        </w:rPr>
        <w:t>TO:</w:t>
      </w:r>
      <w:r w:rsidRPr="009016B9">
        <w:rPr>
          <w:rFonts w:eastAsia="Times New Roman" w:cstheme="minorHAnsi"/>
        </w:rPr>
        <w:t xml:space="preserve"> The City of Lebanon Wastewater Treatment Plant Site Selection Committee &amp; Lebanon City Council</w:t>
      </w:r>
      <w:r w:rsidRPr="009016B9">
        <w:rPr>
          <w:rFonts w:eastAsia="Times New Roman" w:cstheme="minorHAnsi"/>
        </w:rPr>
        <w:br/>
      </w:r>
      <w:r w:rsidRPr="009016B9">
        <w:rPr>
          <w:rFonts w:eastAsia="Times New Roman" w:cstheme="minorHAnsi"/>
          <w:b/>
          <w:bCs/>
        </w:rPr>
        <w:t>RE:</w:t>
      </w:r>
      <w:r w:rsidRPr="009016B9">
        <w:rPr>
          <w:rFonts w:eastAsia="Times New Roman" w:cstheme="minorHAnsi"/>
        </w:rPr>
        <w:t xml:space="preserve"> Public Comments and Risk Assessment regarding the Proposed 20 MGD Wastewater Treatment Facility</w:t>
      </w:r>
      <w:r w:rsidRPr="009016B9">
        <w:rPr>
          <w:rFonts w:eastAsia="Times New Roman" w:cstheme="minorHAnsi"/>
        </w:rPr>
        <w:br/>
      </w:r>
      <w:r w:rsidRPr="009016B9">
        <w:rPr>
          <w:rFonts w:eastAsia="Times New Roman" w:cstheme="minorHAnsi"/>
          <w:b/>
          <w:bCs/>
        </w:rPr>
        <w:t>LOCATION UNDER CONSIDERATION:</w:t>
      </w:r>
      <w:r w:rsidRPr="009016B9">
        <w:rPr>
          <w:rFonts w:eastAsia="Times New Roman" w:cstheme="minorHAnsi"/>
        </w:rPr>
        <w:t xml:space="preserve"> Mann Road and Berea Church Road addresses, Lebanon, TN</w:t>
      </w:r>
      <w:r w:rsidRPr="009016B9">
        <w:rPr>
          <w:rFonts w:eastAsia="Times New Roman" w:cstheme="minorHAnsi"/>
        </w:rPr>
        <w:br/>
      </w:r>
      <w:r w:rsidRPr="009016B9">
        <w:rPr>
          <w:rFonts w:eastAsia="Times New Roman" w:cstheme="minorHAnsi"/>
          <w:b/>
          <w:bCs/>
        </w:rPr>
        <w:t>SUBMITTED BY:</w:t>
      </w:r>
      <w:r w:rsidRPr="009016B9">
        <w:rPr>
          <w:rFonts w:eastAsia="Times New Roman" w:cstheme="minorHAnsi"/>
        </w:rPr>
        <w:t xml:space="preserve"> </w:t>
      </w:r>
      <w:r w:rsidRPr="007B584D">
        <w:rPr>
          <w:rFonts w:ascii="Roboto" w:eastAsia="Times New Roman" w:hAnsi="Roboto" w:cs="Calibri"/>
          <w:color w:val="222222"/>
        </w:rPr>
        <w:t>Todd Roark</w:t>
      </w:r>
      <w:r>
        <w:rPr>
          <w:rFonts w:ascii="Roboto" w:eastAsia="Times New Roman" w:hAnsi="Roboto" w:cs="Calibri"/>
          <w:color w:val="222222"/>
        </w:rPr>
        <w:t>,</w:t>
      </w:r>
      <w:r w:rsidRPr="007B584D">
        <w:rPr>
          <w:rFonts w:ascii="Roboto" w:eastAsia="Times New Roman" w:hAnsi="Roboto" w:cs="Calibri"/>
          <w:color w:val="222222"/>
        </w:rPr>
        <w:t xml:space="preserve"> Tich Chaikumnerd</w:t>
      </w:r>
      <w:r>
        <w:rPr>
          <w:rFonts w:ascii="Roboto" w:eastAsia="Times New Roman" w:hAnsi="Roboto" w:cs="Calibri"/>
          <w:color w:val="222222"/>
        </w:rPr>
        <w:t xml:space="preserve">, and </w:t>
      </w:r>
      <w:r w:rsidRPr="007B584D">
        <w:rPr>
          <w:rFonts w:ascii="Roboto" w:eastAsia="Times New Roman" w:hAnsi="Roboto" w:cs="Calibri"/>
          <w:color w:val="222222"/>
        </w:rPr>
        <w:t>Concerned Resident</w:t>
      </w:r>
      <w:r>
        <w:rPr>
          <w:rFonts w:ascii="Roboto" w:eastAsia="Times New Roman" w:hAnsi="Roboto" w:cs="Calibri"/>
          <w:color w:val="222222"/>
        </w:rPr>
        <w:t>s</w:t>
      </w:r>
      <w:r w:rsidRPr="007B584D">
        <w:rPr>
          <w:rFonts w:ascii="Roboto" w:eastAsia="Times New Roman" w:hAnsi="Roboto" w:cs="Calibri"/>
          <w:color w:val="222222"/>
        </w:rPr>
        <w:t xml:space="preserve"> / Property Owner</w:t>
      </w:r>
      <w:r>
        <w:rPr>
          <w:rFonts w:ascii="Roboto" w:eastAsia="Times New Roman" w:hAnsi="Roboto" w:cs="Calibri"/>
          <w:color w:val="222222"/>
        </w:rPr>
        <w:t xml:space="preserve">s (See </w:t>
      </w:r>
      <w:r>
        <w:rPr>
          <w:rStyle w:val="Strong"/>
          <w:rFonts w:ascii="Roboto" w:hAnsi="Roboto"/>
        </w:rPr>
        <w:t>Appendix A: List of Endorsers</w:t>
      </w:r>
      <w:r>
        <w:t>, which is attached hereto and incorporated herein by this reference.</w:t>
      </w:r>
      <w:r>
        <w:rPr>
          <w:rFonts w:ascii="Roboto" w:eastAsia="Times New Roman" w:hAnsi="Roboto" w:cs="Calibri"/>
          <w:color w:val="222222"/>
        </w:rPr>
        <w:t>)</w:t>
      </w:r>
    </w:p>
    <w:p w14:paraId="030D7E3C" w14:textId="77777777" w:rsidR="00601555" w:rsidRPr="009016B9" w:rsidRDefault="00601555" w:rsidP="00601555">
      <w:pPr>
        <w:rPr>
          <w:rFonts w:eastAsia="Times New Roman" w:cstheme="minorHAnsi"/>
        </w:rPr>
      </w:pPr>
    </w:p>
    <w:p w14:paraId="37B07C85"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22FDC147">
          <v:rect id="_x0000_i1032" alt="" style="width:468pt;height:.05pt;mso-width-percent:0;mso-height-percent:0;mso-width-percent:0;mso-height-percent:0" o:hralign="center" o:hrstd="t" o:hr="t" fillcolor="#a0a0a0" stroked="f"/>
        </w:pict>
      </w:r>
    </w:p>
    <w:p w14:paraId="08A5C10E"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I. Executive Summary</w:t>
      </w:r>
    </w:p>
    <w:p w14:paraId="59EBEC2F" w14:textId="77777777" w:rsidR="00601555" w:rsidRPr="009016B9" w:rsidRDefault="00601555" w:rsidP="00601555">
      <w:pPr>
        <w:rPr>
          <w:rFonts w:eastAsia="Times New Roman" w:cstheme="minorHAnsi"/>
        </w:rPr>
      </w:pPr>
      <w:r w:rsidRPr="009016B9">
        <w:rPr>
          <w:rFonts w:eastAsia="Times New Roman" w:cstheme="minorHAnsi"/>
        </w:rPr>
        <w:t xml:space="preserve">While the City of Lebanon undeniably requires expanded sewage treatment capacity to address chronic infrastructure strain and state environmental violations, the selection of the </w:t>
      </w:r>
      <w:r w:rsidRPr="009016B9">
        <w:rPr>
          <w:rFonts w:eastAsia="Times New Roman" w:cstheme="minorHAnsi"/>
          <w:b/>
          <w:bCs/>
        </w:rPr>
        <w:t>Mann Road and Berea Church Road addresses</w:t>
      </w:r>
      <w:r w:rsidRPr="009016B9">
        <w:rPr>
          <w:rFonts w:eastAsia="Times New Roman" w:cstheme="minorHAnsi"/>
        </w:rPr>
        <w:t xml:space="preserve"> introduces severe, compounding risks to the surrounding community</w:t>
      </w:r>
      <w:r>
        <w:rPr>
          <w:rFonts w:eastAsia="Times New Roman" w:cstheme="minorHAnsi"/>
        </w:rPr>
        <w:t xml:space="preserve">. </w:t>
      </w:r>
      <w:r w:rsidRPr="009016B9">
        <w:rPr>
          <w:rFonts w:eastAsia="Times New Roman" w:cstheme="minorHAnsi"/>
        </w:rPr>
        <w:t>This statement formally submits into the public record a detailed accounting of documented property devaluation, localized truck traffic congestion, infrastructure burdens, and severe environmental vulnerabilities that this proposed facility will impose on local residents.</w:t>
      </w:r>
    </w:p>
    <w:p w14:paraId="4AD0A675"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79D8EDD7">
          <v:rect id="_x0000_i1031" alt="" style="width:468pt;height:.05pt;mso-width-percent:0;mso-height-percent:0;mso-width-percent:0;mso-height-percent:0" o:hralign="center" o:hrstd="t" o:hr="t" fillcolor="#a0a0a0" stroked="f"/>
        </w:pict>
      </w:r>
    </w:p>
    <w:p w14:paraId="418EB91C"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II. Real-World Precedents: Failed Promises and Systemic Vulnerabilities</w:t>
      </w:r>
    </w:p>
    <w:p w14:paraId="1B604283" w14:textId="77777777" w:rsidR="00601555" w:rsidRPr="009016B9" w:rsidRDefault="00601555" w:rsidP="00601555">
      <w:pPr>
        <w:rPr>
          <w:rFonts w:eastAsia="Times New Roman" w:cstheme="minorHAnsi"/>
        </w:rPr>
      </w:pPr>
      <w:r w:rsidRPr="009016B9">
        <w:rPr>
          <w:rFonts w:eastAsia="Times New Roman" w:cstheme="minorHAnsi"/>
        </w:rPr>
        <w:t>Municipalities frequently promise that "modern technology" completely eliminates odor and environmental risks. However, state regulatory records and real-world incident reports show that high-capacity facilities regularly fail to meet these objectives:</w:t>
      </w:r>
    </w:p>
    <w:p w14:paraId="56E45F2D" w14:textId="77777777" w:rsidR="00601555" w:rsidRPr="009016B9" w:rsidRDefault="00601555" w:rsidP="00601555">
      <w:pPr>
        <w:numPr>
          <w:ilvl w:val="0"/>
          <w:numId w:val="1"/>
        </w:numPr>
        <w:spacing w:before="100" w:beforeAutospacing="1" w:after="100" w:afterAutospacing="1"/>
        <w:rPr>
          <w:rFonts w:eastAsia="Times New Roman" w:cstheme="minorHAnsi"/>
        </w:rPr>
      </w:pPr>
      <w:r w:rsidRPr="009016B9">
        <w:rPr>
          <w:rFonts w:eastAsia="Times New Roman" w:cstheme="minorHAnsi"/>
          <w:b/>
          <w:bCs/>
        </w:rPr>
        <w:t>The Lebanon Hartmann Drive Precedent:</w:t>
      </w:r>
      <w:r w:rsidRPr="009016B9">
        <w:rPr>
          <w:rFonts w:eastAsia="Times New Roman" w:cstheme="minorHAnsi"/>
        </w:rPr>
        <w:t xml:space="preserve"> The Tennessee Department of Environment and Conservation (TDEC) has issued repeated </w:t>
      </w:r>
      <w:r w:rsidRPr="009016B9">
        <w:rPr>
          <w:rFonts w:eastAsia="Times New Roman" w:cstheme="minorHAnsi"/>
          <w:b/>
          <w:bCs/>
        </w:rPr>
        <w:t>Notices of Violation (NOVs)</w:t>
      </w:r>
      <w:r w:rsidRPr="009016B9">
        <w:rPr>
          <w:rFonts w:eastAsia="Times New Roman" w:cstheme="minorHAnsi"/>
        </w:rPr>
        <w:t xml:space="preserve"> to Lebanon’s existing plant for failing to meet strict discharge limits. Transferring an overtaxed system to a rural residential zone does not resolve operational management flaws.</w:t>
      </w:r>
    </w:p>
    <w:p w14:paraId="1224150C" w14:textId="77777777" w:rsidR="00601555" w:rsidRPr="009016B9" w:rsidRDefault="00601555" w:rsidP="00601555">
      <w:pPr>
        <w:numPr>
          <w:ilvl w:val="0"/>
          <w:numId w:val="1"/>
        </w:numPr>
        <w:spacing w:before="100" w:beforeAutospacing="1" w:after="100" w:afterAutospacing="1"/>
        <w:rPr>
          <w:rFonts w:eastAsia="Times New Roman" w:cstheme="minorHAnsi"/>
        </w:rPr>
      </w:pPr>
      <w:r w:rsidRPr="009016B9">
        <w:rPr>
          <w:rFonts w:eastAsia="Times New Roman" w:cstheme="minorHAnsi"/>
          <w:b/>
          <w:bCs/>
        </w:rPr>
        <w:t>The "Septic Shock" Phenomenon:</w:t>
      </w:r>
      <w:r w:rsidRPr="009016B9">
        <w:rPr>
          <w:rFonts w:eastAsia="Times New Roman" w:cstheme="minorHAnsi"/>
        </w:rPr>
        <w:t xml:space="preserve"> Academic and municipal data shows that when sewage travels long distances through a city's pipeline network to a peripheral site like the </w:t>
      </w:r>
      <w:r w:rsidRPr="009016B9">
        <w:rPr>
          <w:rFonts w:eastAsia="Times New Roman" w:cstheme="minorHAnsi"/>
          <w:b/>
          <w:bCs/>
        </w:rPr>
        <w:t>Mann Road and Berea Church Road addresses</w:t>
      </w:r>
      <w:r w:rsidRPr="009016B9">
        <w:rPr>
          <w:rFonts w:eastAsia="Times New Roman" w:cstheme="minorHAnsi"/>
        </w:rPr>
        <w:t xml:space="preserve">, it depletes its oxygen and becomes highly septic. Upon arrival, it releases massive, concentrated spikes of </w:t>
      </w:r>
      <w:r w:rsidRPr="00547227">
        <w:rPr>
          <w:rFonts w:eastAsia="Times New Roman" w:cstheme="minorHAnsi"/>
          <w:b/>
          <w:bCs/>
        </w:rPr>
        <w:t>hydrogen sulfide</w:t>
      </w:r>
      <w:r w:rsidRPr="009016B9">
        <w:rPr>
          <w:rFonts w:eastAsia="Times New Roman" w:cstheme="minorHAnsi"/>
        </w:rPr>
        <w:t xml:space="preserve"> (H</w:t>
      </w:r>
      <w:r w:rsidRPr="009016B9">
        <w:rPr>
          <w:rFonts w:eastAsia="Times New Roman" w:cstheme="minorHAnsi"/>
          <w:vertAlign w:val="subscript"/>
        </w:rPr>
        <w:t>2</w:t>
      </w:r>
      <w:r w:rsidRPr="009016B9">
        <w:rPr>
          <w:rFonts w:eastAsia="Times New Roman" w:cstheme="minorHAnsi"/>
        </w:rPr>
        <w:t xml:space="preserve">S) The </w:t>
      </w:r>
      <w:hyperlink r:id="rId7" w:history="1">
        <w:r w:rsidRPr="009016B9">
          <w:rPr>
            <w:rFonts w:eastAsia="Times New Roman" w:cstheme="minorHAnsi"/>
            <w:b/>
            <w:bCs/>
            <w:color w:val="0000FF"/>
            <w:u w:val="single"/>
          </w:rPr>
          <w:t>MDPI Atmosphere Journal</w:t>
        </w:r>
      </w:hyperlink>
      <w:r w:rsidRPr="009016B9">
        <w:rPr>
          <w:rFonts w:eastAsia="Times New Roman" w:cstheme="minorHAnsi"/>
        </w:rPr>
        <w:t xml:space="preserve"> documents that single biological or mechanical system upsets cause on-site odor concentrations to instantly skyrocket </w:t>
      </w:r>
      <w:r w:rsidRPr="009016B9">
        <w:rPr>
          <w:rFonts w:eastAsia="Times New Roman" w:cstheme="minorHAnsi"/>
          <w:b/>
          <w:bCs/>
        </w:rPr>
        <w:t>20 times above normal operational limits</w:t>
      </w:r>
      <w:r w:rsidRPr="009016B9">
        <w:rPr>
          <w:rFonts w:eastAsia="Times New Roman" w:cstheme="minorHAnsi"/>
        </w:rPr>
        <w:t>, bypassing even modern scrubbers.</w:t>
      </w:r>
    </w:p>
    <w:p w14:paraId="0D481CB8"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lastRenderedPageBreak/>
        <w:pict w14:anchorId="28C93927">
          <v:rect id="_x0000_i1030" alt="" style="width:468pt;height:.05pt;mso-width-percent:0;mso-height-percent:0;mso-width-percent:0;mso-height-percent:0" o:hralign="center" o:hrstd="t" o:hr="t" fillcolor="#a0a0a0" stroked="f"/>
        </w:pict>
      </w:r>
    </w:p>
    <w:p w14:paraId="22826A87"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III. Quantifiable Impacts on Local Property Values</w:t>
      </w:r>
    </w:p>
    <w:p w14:paraId="003D92EA" w14:textId="77777777" w:rsidR="00601555" w:rsidRPr="009016B9" w:rsidRDefault="00601555" w:rsidP="00601555">
      <w:pPr>
        <w:rPr>
          <w:rFonts w:eastAsia="Times New Roman" w:cstheme="minorHAnsi"/>
        </w:rPr>
      </w:pPr>
      <w:r w:rsidRPr="009016B9">
        <w:rPr>
          <w:rFonts w:eastAsia="Times New Roman" w:cstheme="minorHAnsi"/>
        </w:rPr>
        <w:t>Proximity to a major wastewater treatment facility inflicts an immediate and permanent "stigma discount" on single-family homes and agricultural land</w:t>
      </w:r>
      <w:r>
        <w:rPr>
          <w:rFonts w:eastAsia="Times New Roman" w:cstheme="minorHAnsi"/>
        </w:rPr>
        <w:t xml:space="preserve">. </w:t>
      </w:r>
      <w:r w:rsidRPr="009016B9">
        <w:rPr>
          <w:rFonts w:eastAsia="Times New Roman" w:cstheme="minorHAnsi"/>
        </w:rPr>
        <w:t>Real-world economic metrics disprove assertions that modern facilities protect neighborhood equity:</w:t>
      </w:r>
    </w:p>
    <w:p w14:paraId="5539D4A0" w14:textId="77777777" w:rsidR="00601555" w:rsidRPr="009016B9" w:rsidRDefault="00601555" w:rsidP="00601555">
      <w:pPr>
        <w:numPr>
          <w:ilvl w:val="0"/>
          <w:numId w:val="2"/>
        </w:numPr>
        <w:spacing w:before="100" w:beforeAutospacing="1" w:after="100" w:afterAutospacing="1"/>
        <w:rPr>
          <w:rFonts w:eastAsia="Times New Roman" w:cstheme="minorHAnsi"/>
        </w:rPr>
      </w:pPr>
      <w:r w:rsidRPr="009016B9">
        <w:rPr>
          <w:rFonts w:eastAsia="Times New Roman" w:cstheme="minorHAnsi"/>
          <w:b/>
          <w:bCs/>
        </w:rPr>
        <w:t>Suppression Metrics:</w:t>
      </w:r>
      <w:r w:rsidRPr="009016B9">
        <w:rPr>
          <w:rFonts w:eastAsia="Times New Roman" w:cstheme="minorHAnsi"/>
        </w:rPr>
        <w:t xml:space="preserve"> According to peer-reviewed data compiled using the Hedonic Price Model (HPM) and published in the </w:t>
      </w:r>
      <w:hyperlink r:id="rId8" w:history="1">
        <w:r w:rsidRPr="009016B9">
          <w:rPr>
            <w:rFonts w:eastAsia="Times New Roman" w:cstheme="minorHAnsi"/>
            <w:b/>
            <w:bCs/>
            <w:color w:val="0000FF"/>
            <w:u w:val="single"/>
          </w:rPr>
          <w:t>Journal of Urban Studies and ScienceDirect</w:t>
        </w:r>
      </w:hyperlink>
      <w:r w:rsidRPr="009016B9">
        <w:rPr>
          <w:rFonts w:eastAsia="Times New Roman" w:cstheme="minorHAnsi"/>
        </w:rPr>
        <w:t xml:space="preserve">, standard wastewater facilities cause an immediate </w:t>
      </w:r>
      <w:r w:rsidRPr="009016B9">
        <w:rPr>
          <w:rFonts w:eastAsia="Times New Roman" w:cstheme="minorHAnsi"/>
          <w:b/>
          <w:bCs/>
        </w:rPr>
        <w:t>5% to 10% structural decrease in property resale values</w:t>
      </w:r>
      <w:r w:rsidRPr="009016B9">
        <w:rPr>
          <w:rFonts w:eastAsia="Times New Roman" w:cstheme="minorHAnsi"/>
        </w:rPr>
        <w:t xml:space="preserve"> for homes located within a 1-to-2-mile radius</w:t>
      </w:r>
      <w:r>
        <w:rPr>
          <w:rFonts w:eastAsia="Times New Roman" w:cstheme="minorHAnsi"/>
        </w:rPr>
        <w:t>.</w:t>
      </w:r>
    </w:p>
    <w:p w14:paraId="269EF21E" w14:textId="77777777" w:rsidR="00601555" w:rsidRPr="009016B9" w:rsidRDefault="00601555" w:rsidP="00601555">
      <w:pPr>
        <w:numPr>
          <w:ilvl w:val="0"/>
          <w:numId w:val="2"/>
        </w:numPr>
        <w:spacing w:before="100" w:beforeAutospacing="1" w:after="100" w:afterAutospacing="1"/>
        <w:rPr>
          <w:rFonts w:eastAsia="Times New Roman" w:cstheme="minorHAnsi"/>
        </w:rPr>
      </w:pPr>
      <w:r w:rsidRPr="009016B9">
        <w:rPr>
          <w:rFonts w:eastAsia="Times New Roman" w:cstheme="minorHAnsi"/>
          <w:b/>
          <w:bCs/>
        </w:rPr>
        <w:t>Hyper-Localized Equity Loss:</w:t>
      </w:r>
      <w:r w:rsidRPr="009016B9">
        <w:rPr>
          <w:rFonts w:eastAsia="Times New Roman" w:cstheme="minorHAnsi"/>
        </w:rPr>
        <w:t xml:space="preserve"> A two-mile radius around the proposed site is highly diverse, encompassing mid-tier residential properties averaging </w:t>
      </w:r>
      <w:r w:rsidRPr="009016B9">
        <w:rPr>
          <w:rFonts w:eastAsia="Times New Roman" w:cstheme="minorHAnsi"/>
          <w:b/>
          <w:bCs/>
        </w:rPr>
        <w:t>$440,000</w:t>
      </w:r>
      <w:r w:rsidRPr="009016B9">
        <w:rPr>
          <w:rFonts w:eastAsia="Times New Roman" w:cstheme="minorHAnsi"/>
        </w:rPr>
        <w:t xml:space="preserve"> along Mann Road, alongside premium, high-end riverfront developments like Oakland Estates along Berea Church Road, where home values regularly exceed </w:t>
      </w:r>
      <w:r w:rsidRPr="009016B9">
        <w:rPr>
          <w:rFonts w:eastAsia="Times New Roman" w:cstheme="minorHAnsi"/>
          <w:b/>
          <w:bCs/>
        </w:rPr>
        <w:t>$1,100,000 to $2,100,000</w:t>
      </w:r>
      <w:r>
        <w:rPr>
          <w:rFonts w:eastAsia="Times New Roman" w:cstheme="minorHAnsi"/>
        </w:rPr>
        <w:t>.</w:t>
      </w:r>
    </w:p>
    <w:p w14:paraId="3ABB31A8" w14:textId="77777777" w:rsidR="00601555" w:rsidRPr="009016B9" w:rsidRDefault="00601555" w:rsidP="00601555">
      <w:pPr>
        <w:numPr>
          <w:ilvl w:val="0"/>
          <w:numId w:val="2"/>
        </w:numPr>
        <w:spacing w:before="100" w:beforeAutospacing="1" w:after="100" w:afterAutospacing="1"/>
        <w:rPr>
          <w:rFonts w:eastAsia="Times New Roman" w:cstheme="minorHAnsi"/>
        </w:rPr>
      </w:pPr>
      <w:r w:rsidRPr="009016B9">
        <w:rPr>
          <w:rFonts w:eastAsia="Times New Roman" w:cstheme="minorHAnsi"/>
          <w:b/>
          <w:bCs/>
        </w:rPr>
        <w:t>The Financial Impact:</w:t>
      </w:r>
      <w:r w:rsidRPr="009016B9">
        <w:rPr>
          <w:rFonts w:eastAsia="Times New Roman" w:cstheme="minorHAnsi"/>
        </w:rPr>
        <w:t xml:space="preserve"> Applying a standard 5% to 10% environmental stigma discount means individual households stand to lose anywhere from </w:t>
      </w:r>
      <w:r w:rsidRPr="009016B9">
        <w:rPr>
          <w:rFonts w:eastAsia="Times New Roman" w:cstheme="minorHAnsi"/>
          <w:b/>
          <w:bCs/>
        </w:rPr>
        <w:t>$22,000 to over $110,000 in home equity</w:t>
      </w:r>
      <w:r w:rsidRPr="009016B9">
        <w:rPr>
          <w:rFonts w:eastAsia="Times New Roman" w:cstheme="minorHAnsi"/>
        </w:rPr>
        <w:t xml:space="preserve"> almost immediately upon plant approval</w:t>
      </w:r>
      <w:r>
        <w:rPr>
          <w:rFonts w:eastAsia="Times New Roman" w:cstheme="minorHAnsi"/>
        </w:rPr>
        <w:t xml:space="preserve">. </w:t>
      </w:r>
      <w:r w:rsidRPr="009016B9">
        <w:rPr>
          <w:rFonts w:eastAsia="Times New Roman" w:cstheme="minorHAnsi"/>
        </w:rPr>
        <w:t>This represents an uncompensated asset seizure that forces neighborhood families to directly subsidize city-wide utility expansion.</w:t>
      </w:r>
    </w:p>
    <w:p w14:paraId="3A6CBBD2" w14:textId="77777777" w:rsidR="00601555" w:rsidRPr="009016B9" w:rsidRDefault="00601555" w:rsidP="00601555">
      <w:pPr>
        <w:numPr>
          <w:ilvl w:val="0"/>
          <w:numId w:val="2"/>
        </w:numPr>
        <w:spacing w:before="100" w:beforeAutospacing="1" w:after="100" w:afterAutospacing="1"/>
        <w:rPr>
          <w:rFonts w:eastAsia="Times New Roman" w:cstheme="minorHAnsi"/>
        </w:rPr>
      </w:pPr>
      <w:r w:rsidRPr="009016B9">
        <w:rPr>
          <w:rFonts w:eastAsia="Times New Roman" w:cstheme="minorHAnsi"/>
          <w:b/>
          <w:bCs/>
        </w:rPr>
        <w:t>Illiquidity Risk:</w:t>
      </w:r>
      <w:r w:rsidRPr="009016B9">
        <w:rPr>
          <w:rFonts w:eastAsia="Times New Roman" w:cstheme="minorHAnsi"/>
        </w:rPr>
        <w:t xml:space="preserve"> Homes near treatment plants experience significantly longer "Days on Market" (DOM) metrics, penalizing families who need to relocate.</w:t>
      </w:r>
    </w:p>
    <w:p w14:paraId="786E2D32"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0AC01157">
          <v:rect id="_x0000_i1029" alt="" style="width:468pt;height:.05pt;mso-width-percent:0;mso-height-percent:0;mso-width-percent:0;mso-height-percent:0" o:hralign="center" o:hrstd="t" o:hr="t" fillcolor="#a0a0a0" stroked="f"/>
        </w:pict>
      </w:r>
    </w:p>
    <w:p w14:paraId="35C8C310"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IV. Transportation and Infrastructure Degradation: Regional Dump Hub Hazards</w:t>
      </w:r>
    </w:p>
    <w:p w14:paraId="71F005DD" w14:textId="77777777" w:rsidR="00601555" w:rsidRPr="009016B9" w:rsidRDefault="00601555" w:rsidP="00601555">
      <w:pPr>
        <w:rPr>
          <w:rFonts w:eastAsia="Times New Roman" w:cstheme="minorHAnsi"/>
        </w:rPr>
      </w:pPr>
      <w:r w:rsidRPr="009016B9">
        <w:rPr>
          <w:rFonts w:eastAsia="Times New Roman" w:cstheme="minorHAnsi"/>
        </w:rPr>
        <w:t>The infrastructure required to build and sustain a 20-million-gallon-per-day plant will fundamentally reshape the local geography and introduce unique traffic hazards to quiet residential areas:</w:t>
      </w:r>
    </w:p>
    <w:p w14:paraId="201DF350" w14:textId="77777777" w:rsidR="00601555" w:rsidRPr="009016B9" w:rsidRDefault="00601555" w:rsidP="00601555">
      <w:pPr>
        <w:spacing w:before="100" w:beforeAutospacing="1" w:after="100" w:afterAutospacing="1"/>
        <w:outlineLvl w:val="1"/>
        <w:rPr>
          <w:rFonts w:eastAsia="Times New Roman" w:cstheme="minorHAnsi"/>
          <w:b/>
          <w:bCs/>
        </w:rPr>
      </w:pPr>
      <w:r w:rsidRPr="009016B9">
        <w:rPr>
          <w:rFonts w:eastAsia="Times New Roman" w:cstheme="minorHAnsi"/>
          <w:b/>
          <w:bCs/>
        </w:rPr>
        <w:t>During Construction (Estimated 24–36 Months)</w:t>
      </w:r>
    </w:p>
    <w:p w14:paraId="380BF97D" w14:textId="77777777" w:rsidR="00601555" w:rsidRPr="009016B9" w:rsidRDefault="00601555" w:rsidP="00601555">
      <w:pPr>
        <w:numPr>
          <w:ilvl w:val="0"/>
          <w:numId w:val="3"/>
        </w:numPr>
        <w:spacing w:before="100" w:beforeAutospacing="1" w:after="100" w:afterAutospacing="1"/>
        <w:rPr>
          <w:rFonts w:eastAsia="Times New Roman" w:cstheme="minorHAnsi"/>
        </w:rPr>
      </w:pPr>
      <w:r w:rsidRPr="009016B9">
        <w:rPr>
          <w:rFonts w:eastAsia="Times New Roman" w:cstheme="minorHAnsi"/>
          <w:b/>
          <w:bCs/>
        </w:rPr>
        <w:t>Heavy-Vehicle Volume:</w:t>
      </w:r>
      <w:r w:rsidRPr="009016B9">
        <w:rPr>
          <w:rFonts w:eastAsia="Times New Roman" w:cstheme="minorHAnsi"/>
        </w:rPr>
        <w:t xml:space="preserve"> Residents will experience a daily influx of 80 to 150 heavy construction vehicles, concrete mixers, and line-hauls.</w:t>
      </w:r>
    </w:p>
    <w:p w14:paraId="3E6EF771" w14:textId="77777777" w:rsidR="00601555" w:rsidRDefault="00601555" w:rsidP="00601555">
      <w:pPr>
        <w:numPr>
          <w:ilvl w:val="0"/>
          <w:numId w:val="3"/>
        </w:numPr>
        <w:spacing w:before="100" w:beforeAutospacing="1" w:after="100" w:afterAutospacing="1"/>
        <w:rPr>
          <w:rFonts w:eastAsia="Times New Roman" w:cstheme="minorHAnsi"/>
        </w:rPr>
      </w:pPr>
      <w:r w:rsidRPr="009016B9">
        <w:rPr>
          <w:rFonts w:eastAsia="Times New Roman" w:cstheme="minorHAnsi"/>
          <w:b/>
          <w:bCs/>
        </w:rPr>
        <w:t>Traffic Bottlenecks:</w:t>
      </w:r>
      <w:r w:rsidRPr="009016B9">
        <w:rPr>
          <w:rFonts w:eastAsia="Times New Roman" w:cstheme="minorHAnsi"/>
        </w:rPr>
        <w:t xml:space="preserve"> Commute times along Coles Ferry Pike, Mann Road, and Berea Church Road will surge, impacting school transit routes—including families utilizing </w:t>
      </w:r>
      <w:r w:rsidRPr="009016B9">
        <w:rPr>
          <w:rFonts w:eastAsia="Times New Roman" w:cstheme="minorHAnsi"/>
          <w:b/>
          <w:bCs/>
        </w:rPr>
        <w:t>Jones Brummett Elementary School</w:t>
      </w:r>
      <w:r>
        <w:rPr>
          <w:rFonts w:eastAsia="Times New Roman" w:cstheme="minorHAnsi"/>
        </w:rPr>
        <w:t>.</w:t>
      </w:r>
    </w:p>
    <w:p w14:paraId="1E575F71" w14:textId="77777777" w:rsidR="00601555" w:rsidRPr="009016B9" w:rsidRDefault="00601555" w:rsidP="00601555">
      <w:pPr>
        <w:spacing w:before="100" w:beforeAutospacing="1" w:after="100" w:afterAutospacing="1"/>
        <w:rPr>
          <w:rFonts w:eastAsia="Times New Roman" w:cstheme="minorHAnsi"/>
        </w:rPr>
      </w:pPr>
    </w:p>
    <w:p w14:paraId="42178B62" w14:textId="77777777" w:rsidR="00601555" w:rsidRPr="009016B9" w:rsidRDefault="00601555" w:rsidP="00601555">
      <w:pPr>
        <w:spacing w:before="100" w:beforeAutospacing="1" w:after="100" w:afterAutospacing="1"/>
        <w:outlineLvl w:val="1"/>
        <w:rPr>
          <w:rFonts w:eastAsia="Times New Roman" w:cstheme="minorHAnsi"/>
          <w:b/>
          <w:bCs/>
        </w:rPr>
      </w:pPr>
      <w:r w:rsidRPr="009016B9">
        <w:rPr>
          <w:rFonts w:eastAsia="Times New Roman" w:cstheme="minorHAnsi"/>
          <w:b/>
          <w:bCs/>
        </w:rPr>
        <w:lastRenderedPageBreak/>
        <w:t>Post-Construction (Ongoing Operational Traffic)</w:t>
      </w:r>
    </w:p>
    <w:p w14:paraId="1C4B0692" w14:textId="77777777" w:rsidR="00601555" w:rsidRPr="009016B9" w:rsidRDefault="00601555" w:rsidP="00601555">
      <w:pPr>
        <w:numPr>
          <w:ilvl w:val="0"/>
          <w:numId w:val="4"/>
        </w:numPr>
        <w:spacing w:before="100" w:beforeAutospacing="1" w:after="100" w:afterAutospacing="1"/>
        <w:rPr>
          <w:rFonts w:eastAsia="Times New Roman" w:cstheme="minorHAnsi"/>
        </w:rPr>
      </w:pPr>
      <w:r w:rsidRPr="009016B9">
        <w:rPr>
          <w:rFonts w:eastAsia="Times New Roman" w:cstheme="minorHAnsi"/>
          <w:b/>
          <w:bCs/>
        </w:rPr>
        <w:t>Chemical Delivery Hazards:</w:t>
      </w:r>
      <w:r w:rsidRPr="009016B9">
        <w:rPr>
          <w:rFonts w:eastAsia="Times New Roman" w:cstheme="minorHAnsi"/>
        </w:rPr>
        <w:t xml:space="preserve"> The facility will require continuous, weekly shipments of industrial chemicals (such as sodium hypochlorite and liquid sulfur dioxide) for wastewater disinfection.</w:t>
      </w:r>
    </w:p>
    <w:p w14:paraId="0547CBF6" w14:textId="77777777" w:rsidR="00601555" w:rsidRDefault="00601555" w:rsidP="00601555">
      <w:pPr>
        <w:numPr>
          <w:ilvl w:val="0"/>
          <w:numId w:val="4"/>
        </w:numPr>
        <w:spacing w:before="100" w:beforeAutospacing="1" w:after="100" w:afterAutospacing="1"/>
        <w:rPr>
          <w:rFonts w:eastAsia="Times New Roman" w:cstheme="minorHAnsi"/>
        </w:rPr>
      </w:pPr>
      <w:r w:rsidRPr="009016B9">
        <w:rPr>
          <w:rFonts w:eastAsia="Times New Roman" w:cstheme="minorHAnsi"/>
          <w:b/>
          <w:bCs/>
        </w:rPr>
        <w:t>The Commercial Septic Tanker Vector:</w:t>
      </w:r>
      <w:r w:rsidRPr="009016B9">
        <w:rPr>
          <w:rFonts w:eastAsia="Times New Roman" w:cstheme="minorHAnsi"/>
        </w:rPr>
        <w:t xml:space="preserve"> A wastewater plant is not a closed pipe system; it operates as a </w:t>
      </w:r>
      <w:r w:rsidRPr="009016B9">
        <w:rPr>
          <w:rFonts w:eastAsia="Times New Roman" w:cstheme="minorHAnsi"/>
          <w:b/>
          <w:bCs/>
        </w:rPr>
        <w:t>regional waste repository</w:t>
      </w:r>
      <w:r w:rsidRPr="009016B9">
        <w:rPr>
          <w:rFonts w:eastAsia="Times New Roman" w:cstheme="minorHAnsi"/>
        </w:rPr>
        <w:t xml:space="preserve">. Based on current practices at the Hartmann Drive facility, a new plant will feature a </w:t>
      </w:r>
      <w:r w:rsidRPr="009016B9">
        <w:rPr>
          <w:rFonts w:eastAsia="Times New Roman" w:cstheme="minorHAnsi"/>
          <w:b/>
          <w:bCs/>
        </w:rPr>
        <w:t>Septage Receiving Station</w:t>
      </w:r>
      <w:r>
        <w:rPr>
          <w:rFonts w:eastAsia="Times New Roman" w:cstheme="minorHAnsi"/>
        </w:rPr>
        <w:t xml:space="preserve">. </w:t>
      </w:r>
      <w:r w:rsidRPr="009016B9">
        <w:rPr>
          <w:rFonts w:eastAsia="Times New Roman" w:cstheme="minorHAnsi"/>
        </w:rPr>
        <w:t>This requires a perpetual daily stream of private multi-axle vacuum trucks hauling concentrated commercial grease and residential septic waste from all over Wilson County to pump and dump on-site</w:t>
      </w:r>
      <w:r>
        <w:rPr>
          <w:rFonts w:eastAsia="Times New Roman" w:cstheme="minorHAnsi"/>
        </w:rPr>
        <w:t>.</w:t>
      </w:r>
    </w:p>
    <w:p w14:paraId="7B8C59B0" w14:textId="0AE71BBC" w:rsidR="00541928" w:rsidRPr="00541928" w:rsidRDefault="00541928" w:rsidP="00541928">
      <w:pPr>
        <w:pStyle w:val="ListParagraph"/>
        <w:numPr>
          <w:ilvl w:val="1"/>
          <w:numId w:val="4"/>
        </w:numPr>
      </w:pPr>
      <w:r w:rsidRPr="00821E22">
        <w:rPr>
          <w:rFonts w:ascii="ArialMT" w:hAnsi="ArialMT"/>
          <w:b/>
          <w:bCs/>
          <w:color w:val="000000"/>
          <w:sz w:val="20"/>
          <w:szCs w:val="20"/>
        </w:rPr>
        <w:t>Question for City Engineers:</w:t>
      </w:r>
      <w:r w:rsidRPr="00821E22">
        <w:rPr>
          <w:rStyle w:val="apple-converted-space"/>
          <w:rFonts w:ascii="ArialMT" w:hAnsi="ArialMT"/>
          <w:color w:val="000000"/>
          <w:sz w:val="20"/>
          <w:szCs w:val="20"/>
        </w:rPr>
        <w:t> </w:t>
      </w:r>
      <w:r w:rsidRPr="00821E22">
        <w:rPr>
          <w:rStyle w:val="Emphasis"/>
          <w:rFonts w:ascii="ArialMT" w:hAnsi="ArialMT"/>
          <w:color w:val="000000"/>
          <w:sz w:val="20"/>
          <w:szCs w:val="20"/>
        </w:rPr>
        <w:t>"Mann Road currently defaults to the state’s maximum 80,000-pound commercial truck limit</w:t>
      </w:r>
      <w:r>
        <w:rPr>
          <w:rStyle w:val="Emphasis"/>
          <w:rFonts w:ascii="ArialMT" w:hAnsi="ArialMT"/>
          <w:color w:val="000000"/>
          <w:sz w:val="20"/>
          <w:szCs w:val="20"/>
        </w:rPr>
        <w:t xml:space="preserve">. </w:t>
      </w:r>
      <w:r w:rsidRPr="00821E22">
        <w:rPr>
          <w:rStyle w:val="Emphasis"/>
          <w:rFonts w:ascii="ArialMT" w:hAnsi="ArialMT"/>
          <w:color w:val="000000"/>
          <w:sz w:val="20"/>
          <w:szCs w:val="20"/>
        </w:rPr>
        <w:t>Because the current road surface features a weak sub-base and entirely inadequate lane widths for heavy multi-axle vehicles</w:t>
      </w:r>
      <w:r>
        <w:rPr>
          <w:rStyle w:val="Emphasis"/>
          <w:rFonts w:ascii="ArialMT" w:hAnsi="ArialMT"/>
          <w:color w:val="000000"/>
          <w:sz w:val="20"/>
          <w:szCs w:val="20"/>
        </w:rPr>
        <w:t xml:space="preserve">, </w:t>
      </w:r>
      <w:r w:rsidRPr="00821E22">
        <w:rPr>
          <w:rStyle w:val="Emphasis"/>
          <w:rFonts w:ascii="ArialMT" w:hAnsi="ArialMT"/>
          <w:color w:val="000000"/>
          <w:sz w:val="20"/>
          <w:szCs w:val="20"/>
        </w:rPr>
        <w:t>will the city commit to doing a structural load study</w:t>
      </w:r>
      <w:r>
        <w:rPr>
          <w:rStyle w:val="Emphasis"/>
          <w:rFonts w:ascii="ArialMT" w:hAnsi="ArialMT"/>
          <w:color w:val="000000"/>
          <w:sz w:val="20"/>
          <w:szCs w:val="20"/>
        </w:rPr>
        <w:t xml:space="preserve">? </w:t>
      </w:r>
      <w:r w:rsidRPr="00821E22">
        <w:rPr>
          <w:rStyle w:val="Emphasis"/>
          <w:rFonts w:ascii="ArialMT" w:hAnsi="ArialMT"/>
          <w:b/>
          <w:bCs/>
          <w:color w:val="000000"/>
          <w:sz w:val="20"/>
          <w:szCs w:val="20"/>
        </w:rPr>
        <w:t>We are concerned that 40-ton chemical and septage haulers will destroy our local road infrastructure</w:t>
      </w:r>
      <w:r>
        <w:rPr>
          <w:rStyle w:val="Emphasis"/>
          <w:rFonts w:ascii="ArialMT" w:hAnsi="ArialMT"/>
          <w:color w:val="000000"/>
          <w:sz w:val="20"/>
          <w:szCs w:val="20"/>
        </w:rPr>
        <w:t>.”</w:t>
      </w:r>
    </w:p>
    <w:p w14:paraId="2E684355" w14:textId="77777777" w:rsidR="00601555" w:rsidRPr="009016B9" w:rsidRDefault="00601555" w:rsidP="00601555">
      <w:pPr>
        <w:numPr>
          <w:ilvl w:val="0"/>
          <w:numId w:val="4"/>
        </w:numPr>
        <w:spacing w:before="100" w:beforeAutospacing="1" w:after="100" w:afterAutospacing="1"/>
        <w:rPr>
          <w:rFonts w:eastAsia="Times New Roman" w:cstheme="minorHAnsi"/>
        </w:rPr>
      </w:pPr>
      <w:r w:rsidRPr="009016B9">
        <w:rPr>
          <w:rFonts w:eastAsia="Times New Roman" w:cstheme="minorHAnsi"/>
          <w:b/>
          <w:bCs/>
        </w:rPr>
        <w:t>Emergency Hauling Routes:</w:t>
      </w:r>
      <w:r w:rsidRPr="009016B9">
        <w:rPr>
          <w:rFonts w:eastAsia="Times New Roman" w:cstheme="minorHAnsi"/>
        </w:rPr>
        <w:t xml:space="preserve"> The city also relies on vacuum trucks to haul raw emergency sewage over local roads from overtaxed public facilities—such as the recent crisis involving </w:t>
      </w:r>
      <w:r w:rsidRPr="009016B9">
        <w:rPr>
          <w:rFonts w:eastAsia="Times New Roman" w:cstheme="minorHAnsi"/>
          <w:b/>
          <w:bCs/>
        </w:rPr>
        <w:t>La</w:t>
      </w:r>
      <w:r>
        <w:rPr>
          <w:rFonts w:eastAsia="Times New Roman" w:cstheme="minorHAnsi"/>
          <w:b/>
          <w:bCs/>
        </w:rPr>
        <w:t xml:space="preserve"> </w:t>
      </w:r>
      <w:r w:rsidRPr="009016B9">
        <w:rPr>
          <w:rFonts w:eastAsia="Times New Roman" w:cstheme="minorHAnsi"/>
          <w:b/>
          <w:bCs/>
        </w:rPr>
        <w:t>Guardo Elementary School</w:t>
      </w:r>
      <w:r>
        <w:rPr>
          <w:rFonts w:eastAsia="Times New Roman" w:cstheme="minorHAnsi"/>
        </w:rPr>
        <w:t xml:space="preserve">. </w:t>
      </w:r>
      <w:r w:rsidRPr="009016B9">
        <w:rPr>
          <w:rFonts w:eastAsia="Times New Roman" w:cstheme="minorHAnsi"/>
        </w:rPr>
        <w:t>Under this proposal, these heavy sewage trucks will utilize Mann Road and Berea Church Road as their primary routes.</w:t>
      </w:r>
    </w:p>
    <w:p w14:paraId="70EBD8BC" w14:textId="77777777" w:rsidR="00601555" w:rsidRDefault="00601555" w:rsidP="00601555">
      <w:pPr>
        <w:numPr>
          <w:ilvl w:val="0"/>
          <w:numId w:val="4"/>
        </w:numPr>
        <w:spacing w:before="100" w:beforeAutospacing="1" w:after="100" w:afterAutospacing="1"/>
        <w:rPr>
          <w:rFonts w:eastAsia="Times New Roman" w:cstheme="minorHAnsi"/>
        </w:rPr>
      </w:pPr>
      <w:r w:rsidRPr="009016B9">
        <w:rPr>
          <w:rFonts w:eastAsia="Times New Roman" w:cstheme="minorHAnsi"/>
          <w:b/>
          <w:bCs/>
        </w:rPr>
        <w:t>Right-of-Way and Property Line Infringement:</w:t>
      </w:r>
      <w:r w:rsidRPr="009016B9">
        <w:rPr>
          <w:rFonts w:eastAsia="Times New Roman" w:cstheme="minorHAnsi"/>
        </w:rPr>
        <w:t xml:space="preserve"> Mann Road and Berea Church Road are narrow corridors built for light residential and agricultural use. To safely accommodate continuous heavy multi-axle operational traffic, chemical trucks, and septic tankers, the city will be forced to </w:t>
      </w:r>
      <w:r w:rsidRPr="009016B9">
        <w:rPr>
          <w:rFonts w:eastAsia="Times New Roman" w:cstheme="minorHAnsi"/>
          <w:b/>
          <w:bCs/>
        </w:rPr>
        <w:t>expand and widen these roads</w:t>
      </w:r>
      <w:r w:rsidRPr="009016B9">
        <w:rPr>
          <w:rFonts w:eastAsia="Times New Roman" w:cstheme="minorHAnsi"/>
        </w:rPr>
        <w:t xml:space="preserve">. This infrastructure expansion risks the utilization of </w:t>
      </w:r>
      <w:r w:rsidRPr="009016B9">
        <w:rPr>
          <w:rFonts w:eastAsia="Times New Roman" w:cstheme="minorHAnsi"/>
          <w:b/>
          <w:bCs/>
        </w:rPr>
        <w:t>eminent domain</w:t>
      </w:r>
      <w:r w:rsidRPr="009016B9">
        <w:rPr>
          <w:rFonts w:eastAsia="Times New Roman" w:cstheme="minorHAnsi"/>
        </w:rPr>
        <w:t xml:space="preserve"> to permanently seize frontages, moving asphalt lines closer to existing front doors and destroying established mature landscaping.</w:t>
      </w:r>
    </w:p>
    <w:p w14:paraId="09B78538" w14:textId="77777777" w:rsidR="00821E22" w:rsidRPr="009016B9" w:rsidRDefault="00821E22" w:rsidP="00821E22">
      <w:pPr>
        <w:spacing w:before="100" w:beforeAutospacing="1" w:after="100" w:afterAutospacing="1"/>
        <w:ind w:left="1440"/>
        <w:rPr>
          <w:rFonts w:eastAsia="Times New Roman" w:cstheme="minorHAnsi"/>
        </w:rPr>
      </w:pPr>
    </w:p>
    <w:p w14:paraId="22E6A1BB"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294ABFFC">
          <v:rect id="_x0000_i1028" alt="" style="width:468pt;height:.05pt;mso-width-percent:0;mso-height-percent:0;mso-width-percent:0;mso-height-percent:0" o:hralign="center" o:hrstd="t" o:hr="t" fillcolor="#a0a0a0" stroked="f"/>
        </w:pict>
      </w:r>
    </w:p>
    <w:p w14:paraId="04D738F6"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V. Grid Burden and Utility Inequities</w:t>
      </w:r>
    </w:p>
    <w:p w14:paraId="4FB0E76B" w14:textId="77777777" w:rsidR="00601555" w:rsidRPr="009016B9" w:rsidRDefault="00601555" w:rsidP="00601555">
      <w:pPr>
        <w:rPr>
          <w:rFonts w:eastAsia="Times New Roman" w:cstheme="minorHAnsi"/>
        </w:rPr>
      </w:pPr>
      <w:r w:rsidRPr="009016B9">
        <w:rPr>
          <w:rFonts w:eastAsia="Times New Roman" w:cstheme="minorHAnsi"/>
        </w:rPr>
        <w:t>A facility designed to process 20 million gallons of water daily requires an immense, continuous electrical load.</w:t>
      </w:r>
    </w:p>
    <w:p w14:paraId="50AADA99" w14:textId="77777777" w:rsidR="00601555" w:rsidRPr="009016B9" w:rsidRDefault="00601555" w:rsidP="00601555">
      <w:pPr>
        <w:numPr>
          <w:ilvl w:val="0"/>
          <w:numId w:val="5"/>
        </w:numPr>
        <w:spacing w:before="100" w:beforeAutospacing="1" w:after="100" w:afterAutospacing="1"/>
        <w:rPr>
          <w:rFonts w:eastAsia="Times New Roman" w:cstheme="minorHAnsi"/>
        </w:rPr>
      </w:pPr>
      <w:r w:rsidRPr="009016B9">
        <w:rPr>
          <w:rFonts w:eastAsia="Times New Roman" w:cstheme="minorHAnsi"/>
          <w:b/>
          <w:bCs/>
        </w:rPr>
        <w:t>Power Sourcing:</w:t>
      </w:r>
      <w:r w:rsidRPr="009016B9">
        <w:rPr>
          <w:rFonts w:eastAsia="Times New Roman" w:cstheme="minorHAnsi"/>
        </w:rPr>
        <w:t xml:space="preserve"> The plant will require a dedicated sub-transmission power line extension, potentially requiring new, unsightly industrial utility poles and easements slicing through private properties.</w:t>
      </w:r>
    </w:p>
    <w:p w14:paraId="4590FA8C" w14:textId="77777777" w:rsidR="00601555" w:rsidRPr="009016B9" w:rsidRDefault="00601555" w:rsidP="00601555">
      <w:pPr>
        <w:numPr>
          <w:ilvl w:val="0"/>
          <w:numId w:val="5"/>
        </w:numPr>
        <w:spacing w:before="100" w:beforeAutospacing="1" w:after="100" w:afterAutospacing="1"/>
        <w:rPr>
          <w:rFonts w:eastAsia="Times New Roman" w:cstheme="minorHAnsi"/>
        </w:rPr>
      </w:pPr>
      <w:r w:rsidRPr="009016B9">
        <w:rPr>
          <w:rFonts w:eastAsia="Times New Roman" w:cstheme="minorHAnsi"/>
          <w:b/>
          <w:bCs/>
        </w:rPr>
        <w:t>Resident Burden:</w:t>
      </w:r>
      <w:r w:rsidRPr="009016B9">
        <w:rPr>
          <w:rFonts w:eastAsia="Times New Roman" w:cstheme="minorHAnsi"/>
        </w:rPr>
        <w:t xml:space="preserve"> While the plant will draw heavily from the local grid infrastructure, the capital costs—estimated in the tens of millions—will inevitably place financial pressure on local ratepayers. As noted by municipal water experts, cities are forced to issue heavy tax-backed bonds, driving up </w:t>
      </w:r>
      <w:r w:rsidRPr="009016B9">
        <w:rPr>
          <w:rFonts w:eastAsia="Times New Roman" w:cstheme="minorHAnsi"/>
          <w:b/>
          <w:bCs/>
        </w:rPr>
        <w:t>customer water and sewer utility rates</w:t>
      </w:r>
      <w:r w:rsidRPr="009016B9">
        <w:rPr>
          <w:rFonts w:eastAsia="Times New Roman" w:cstheme="minorHAnsi"/>
        </w:rPr>
        <w:t xml:space="preserve"> for local residents to fund the expansion.</w:t>
      </w:r>
    </w:p>
    <w:p w14:paraId="65E893F7"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lastRenderedPageBreak/>
        <w:pict w14:anchorId="67291BC1">
          <v:rect id="_x0000_i1027" alt="" style="width:468pt;height:.05pt;mso-width-percent:0;mso-height-percent:0;mso-width-percent:0;mso-height-percent:0" o:hralign="center" o:hrstd="t" o:hr="t" fillcolor="#a0a0a0" stroked="f"/>
        </w:pict>
      </w:r>
    </w:p>
    <w:p w14:paraId="26815308"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VI. Hydrological Risks: Groundwater and Well Contamination</w:t>
      </w:r>
    </w:p>
    <w:p w14:paraId="4A5B2DC0" w14:textId="77777777" w:rsidR="00601555" w:rsidRPr="009016B9" w:rsidRDefault="00601555" w:rsidP="00601555">
      <w:pPr>
        <w:rPr>
          <w:rFonts w:eastAsia="Times New Roman" w:cstheme="minorHAnsi"/>
        </w:rPr>
      </w:pPr>
      <w:r w:rsidRPr="009016B9">
        <w:rPr>
          <w:rFonts w:eastAsia="Times New Roman" w:cstheme="minorHAnsi"/>
        </w:rPr>
        <w:t>A significant portion of the Mann Road, Berea Church Road, and surrounding North Lebanon area relies on private water wells for both agricultural use and household drinking water.</w:t>
      </w:r>
    </w:p>
    <w:p w14:paraId="26F70268" w14:textId="77777777" w:rsidR="00601555" w:rsidRPr="009016B9" w:rsidRDefault="00601555" w:rsidP="00601555">
      <w:pPr>
        <w:numPr>
          <w:ilvl w:val="0"/>
          <w:numId w:val="6"/>
        </w:numPr>
        <w:spacing w:before="100" w:beforeAutospacing="1" w:after="100" w:afterAutospacing="1"/>
        <w:rPr>
          <w:rFonts w:eastAsia="Times New Roman" w:cstheme="minorHAnsi"/>
        </w:rPr>
      </w:pPr>
      <w:r w:rsidRPr="009016B9">
        <w:rPr>
          <w:rFonts w:eastAsia="Times New Roman" w:cstheme="minorHAnsi"/>
          <w:b/>
          <w:bCs/>
        </w:rPr>
        <w:t>Karst Topography Dangers:</w:t>
      </w:r>
      <w:r w:rsidRPr="009016B9">
        <w:rPr>
          <w:rFonts w:eastAsia="Times New Roman" w:cstheme="minorHAnsi"/>
        </w:rPr>
        <w:t xml:space="preserve"> Middle Tennessee is defined by a sensitive </w:t>
      </w:r>
      <w:r w:rsidRPr="009016B9">
        <w:rPr>
          <w:rFonts w:eastAsia="Times New Roman" w:cstheme="minorHAnsi"/>
          <w:b/>
          <w:bCs/>
        </w:rPr>
        <w:t>karst limestone geology</w:t>
      </w:r>
      <w:r w:rsidRPr="009016B9">
        <w:rPr>
          <w:rFonts w:eastAsia="Times New Roman" w:cstheme="minorHAnsi"/>
        </w:rPr>
        <w:t>, characterized by subterranean fissures, caves, and sinkholes.</w:t>
      </w:r>
    </w:p>
    <w:p w14:paraId="6D241995" w14:textId="77777777" w:rsidR="00601555" w:rsidRPr="009016B9" w:rsidRDefault="00601555" w:rsidP="00601555">
      <w:pPr>
        <w:numPr>
          <w:ilvl w:val="0"/>
          <w:numId w:val="6"/>
        </w:numPr>
        <w:spacing w:before="100" w:beforeAutospacing="1" w:after="100" w:afterAutospacing="1"/>
        <w:rPr>
          <w:rFonts w:eastAsia="Times New Roman" w:cstheme="minorHAnsi"/>
        </w:rPr>
      </w:pPr>
      <w:r w:rsidRPr="009016B9">
        <w:rPr>
          <w:rFonts w:eastAsia="Times New Roman" w:cstheme="minorHAnsi"/>
          <w:b/>
          <w:bCs/>
        </w:rPr>
        <w:t>The Contamination Vector:</w:t>
      </w:r>
      <w:r w:rsidRPr="009016B9">
        <w:rPr>
          <w:rFonts w:eastAsia="Times New Roman" w:cstheme="minorHAnsi"/>
        </w:rPr>
        <w:t xml:space="preserve"> If an unlined containment basin cracks, or if an on-site industrial chemical tank leaks, contaminants will bypass surface filtration and drain directly into the underground aquifer. Because groundwater in karst terrain moves rapidly through open limestone channels without natural soil filtering, a single localized spill could rapidly contaminate every residential well within a multi-mile radius, creating an immediate public health crisis.</w:t>
      </w:r>
    </w:p>
    <w:p w14:paraId="1CF6661D"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16DB3983">
          <v:rect id="_x0000_i1026" alt="" style="width:468pt;height:.05pt;mso-width-percent:0;mso-height-percent:0;mso-width-percent:0;mso-height-percent:0" o:hralign="center" o:hrstd="t" o:hr="t" fillcolor="#a0a0a0" stroked="f"/>
        </w:pict>
      </w:r>
    </w:p>
    <w:p w14:paraId="33B8191D"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VII. Topography, Flooding, and Open-Air Odor Traps</w:t>
      </w:r>
    </w:p>
    <w:p w14:paraId="38A83850" w14:textId="77777777" w:rsidR="00601555" w:rsidRPr="009016B9" w:rsidRDefault="00601555" w:rsidP="00601555">
      <w:pPr>
        <w:rPr>
          <w:rFonts w:eastAsia="Times New Roman" w:cstheme="minorHAnsi"/>
        </w:rPr>
      </w:pPr>
      <w:r w:rsidRPr="009016B9">
        <w:rPr>
          <w:rFonts w:eastAsia="Times New Roman" w:cstheme="minorHAnsi"/>
        </w:rPr>
        <w:t xml:space="preserve">The northern boundary of the Mann Road and Berea Church Road area transitions into the rolling lowlands feeding the </w:t>
      </w:r>
      <w:r w:rsidRPr="009016B9">
        <w:rPr>
          <w:rFonts w:eastAsia="Times New Roman" w:cstheme="minorHAnsi"/>
          <w:b/>
          <w:bCs/>
        </w:rPr>
        <w:t>Cumberland River basin</w:t>
      </w:r>
      <w:r w:rsidRPr="009016B9">
        <w:rPr>
          <w:rFonts w:eastAsia="Times New Roman" w:cstheme="minorHAnsi"/>
        </w:rPr>
        <w:t>, an area natively vulnerable to flash flooding and localized drainage overflows.</w:t>
      </w:r>
    </w:p>
    <w:p w14:paraId="2885398B" w14:textId="77777777" w:rsidR="00601555" w:rsidRPr="009016B9" w:rsidRDefault="00601555" w:rsidP="00601555">
      <w:pPr>
        <w:numPr>
          <w:ilvl w:val="0"/>
          <w:numId w:val="7"/>
        </w:numPr>
        <w:spacing w:before="100" w:beforeAutospacing="1" w:after="100" w:afterAutospacing="1"/>
        <w:rPr>
          <w:rFonts w:eastAsia="Times New Roman" w:cstheme="minorHAnsi"/>
        </w:rPr>
      </w:pPr>
      <w:r w:rsidRPr="009016B9">
        <w:rPr>
          <w:rFonts w:eastAsia="Times New Roman" w:cstheme="minorHAnsi"/>
          <w:b/>
          <w:bCs/>
        </w:rPr>
        <w:t>Flood Containment Failures:</w:t>
      </w:r>
      <w:r w:rsidRPr="009016B9">
        <w:rPr>
          <w:rFonts w:eastAsia="Times New Roman" w:cstheme="minorHAnsi"/>
        </w:rPr>
        <w:t xml:space="preserve"> Intense rain events can quickly overwhelm plant stormwater capacity. If the facility is inundated, raw, untreated sewage will bypass final treatment stages, washing chemical residues and biological pathogens directly onto nearby soils and into the river.</w:t>
      </w:r>
    </w:p>
    <w:p w14:paraId="19FD533A" w14:textId="77777777" w:rsidR="00601555" w:rsidRPr="009016B9" w:rsidRDefault="00601555" w:rsidP="00601555">
      <w:pPr>
        <w:numPr>
          <w:ilvl w:val="0"/>
          <w:numId w:val="7"/>
        </w:numPr>
        <w:spacing w:before="100" w:beforeAutospacing="1" w:after="100" w:afterAutospacing="1"/>
        <w:rPr>
          <w:rFonts w:eastAsia="Times New Roman" w:cstheme="minorHAnsi"/>
        </w:rPr>
      </w:pPr>
      <w:r w:rsidRPr="009016B9">
        <w:rPr>
          <w:rFonts w:eastAsia="Times New Roman" w:cstheme="minorHAnsi"/>
          <w:b/>
          <w:bCs/>
        </w:rPr>
        <w:t>Septage Discharge Odor Spikes:</w:t>
      </w:r>
      <w:r w:rsidRPr="009016B9">
        <w:rPr>
          <w:rFonts w:eastAsia="Times New Roman" w:cstheme="minorHAnsi"/>
        </w:rPr>
        <w:t xml:space="preserve"> The process of trucks connecting high-pressure hoses to dump raw septic tank sludge and commercial grease traps exposes highly concentrated, septic gases directly to the open air.</w:t>
      </w:r>
    </w:p>
    <w:p w14:paraId="266EA7B9" w14:textId="77777777" w:rsidR="00601555" w:rsidRPr="009016B9" w:rsidRDefault="00601555" w:rsidP="00601555">
      <w:pPr>
        <w:numPr>
          <w:ilvl w:val="0"/>
          <w:numId w:val="7"/>
        </w:numPr>
        <w:spacing w:before="100" w:beforeAutospacing="1" w:after="100" w:afterAutospacing="1"/>
        <w:rPr>
          <w:rFonts w:eastAsia="Times New Roman" w:cstheme="minorHAnsi"/>
        </w:rPr>
      </w:pPr>
      <w:r w:rsidRPr="009016B9">
        <w:rPr>
          <w:rFonts w:eastAsia="Times New Roman" w:cstheme="minorHAnsi"/>
          <w:b/>
          <w:bCs/>
        </w:rPr>
        <w:t>Atmospheric Odor Traps:</w:t>
      </w:r>
      <w:r w:rsidRPr="009016B9">
        <w:rPr>
          <w:rFonts w:eastAsia="Times New Roman" w:cstheme="minorHAnsi"/>
        </w:rPr>
        <w:t xml:space="preserve"> The low-lying terrain near the river is prone to regular </w:t>
      </w:r>
      <w:r w:rsidRPr="009016B9">
        <w:rPr>
          <w:rFonts w:eastAsia="Times New Roman" w:cstheme="minorHAnsi"/>
          <w:b/>
          <w:bCs/>
        </w:rPr>
        <w:t>temperature inversions</w:t>
      </w:r>
      <w:r w:rsidRPr="009016B9">
        <w:rPr>
          <w:rFonts w:eastAsia="Times New Roman" w:cstheme="minorHAnsi"/>
        </w:rPr>
        <w:t>, particularly during humid summer months. Warm air blankets the valley, preventing air from rising. Consequently, the intense odor bursts generated during daily truck dumping cycles will become trapped at ground level, creating a dense, concentrated blanket of foul air that wind currents will push laterally into local homes.</w:t>
      </w:r>
    </w:p>
    <w:p w14:paraId="7E251AE7" w14:textId="77777777" w:rsidR="00601555" w:rsidRPr="009016B9" w:rsidRDefault="00235C26" w:rsidP="00601555">
      <w:pPr>
        <w:rPr>
          <w:rFonts w:eastAsia="Times New Roman" w:cstheme="minorHAnsi"/>
        </w:rPr>
      </w:pPr>
      <w:r w:rsidRPr="00235C26">
        <w:rPr>
          <w:rFonts w:eastAsia="Times New Roman" w:cstheme="minorHAnsi"/>
          <w:noProof/>
          <w14:ligatures w14:val="standardContextual"/>
        </w:rPr>
        <w:pict w14:anchorId="60ED387D">
          <v:rect id="_x0000_i1025" alt="" style="width:468pt;height:.05pt;mso-width-percent:0;mso-height-percent:0;mso-width-percent:0;mso-height-percent:0" o:hralign="center" o:hrstd="t" o:hr="t" fillcolor="#a0a0a0" stroked="f"/>
        </w:pict>
      </w:r>
    </w:p>
    <w:p w14:paraId="708600AF" w14:textId="77777777" w:rsidR="00601555" w:rsidRPr="009016B9" w:rsidRDefault="00601555" w:rsidP="00601555">
      <w:pPr>
        <w:spacing w:before="100" w:beforeAutospacing="1" w:after="100" w:afterAutospacing="1"/>
        <w:outlineLvl w:val="1"/>
        <w:rPr>
          <w:rFonts w:eastAsia="Times New Roman" w:cstheme="minorHAnsi"/>
          <w:b/>
          <w:bCs/>
          <w:sz w:val="30"/>
          <w:szCs w:val="30"/>
        </w:rPr>
      </w:pPr>
      <w:r w:rsidRPr="009016B9">
        <w:rPr>
          <w:rFonts w:eastAsia="Times New Roman" w:cstheme="minorHAnsi"/>
          <w:b/>
          <w:bCs/>
          <w:sz w:val="30"/>
          <w:szCs w:val="30"/>
        </w:rPr>
        <w:t>VIII. Formal Request for Action</w:t>
      </w:r>
    </w:p>
    <w:p w14:paraId="5FD521A6" w14:textId="77777777" w:rsidR="00601555" w:rsidRPr="009016B9" w:rsidRDefault="00601555" w:rsidP="00601555">
      <w:pPr>
        <w:rPr>
          <w:rFonts w:eastAsia="Times New Roman" w:cstheme="minorHAnsi"/>
        </w:rPr>
      </w:pPr>
      <w:r w:rsidRPr="009016B9">
        <w:rPr>
          <w:rFonts w:eastAsia="Times New Roman" w:cstheme="minorHAnsi"/>
        </w:rPr>
        <w:t>Based on these severe, documented risks, we demand that the Site Selection Committee:</w:t>
      </w:r>
    </w:p>
    <w:p w14:paraId="0E78C2B0" w14:textId="77777777" w:rsidR="00601555" w:rsidRPr="009016B9" w:rsidRDefault="00601555" w:rsidP="00601555">
      <w:pPr>
        <w:numPr>
          <w:ilvl w:val="0"/>
          <w:numId w:val="8"/>
        </w:numPr>
        <w:spacing w:before="100" w:beforeAutospacing="1" w:after="100" w:afterAutospacing="1"/>
        <w:rPr>
          <w:rFonts w:eastAsia="Times New Roman" w:cstheme="minorHAnsi"/>
        </w:rPr>
      </w:pPr>
      <w:r w:rsidRPr="009016B9">
        <w:rPr>
          <w:rFonts w:eastAsia="Times New Roman" w:cstheme="minorHAnsi"/>
        </w:rPr>
        <w:lastRenderedPageBreak/>
        <w:t xml:space="preserve">Eliminate the </w:t>
      </w:r>
      <w:r w:rsidRPr="009016B9">
        <w:rPr>
          <w:rFonts w:eastAsia="Times New Roman" w:cstheme="minorHAnsi"/>
          <w:b/>
          <w:bCs/>
        </w:rPr>
        <w:t>Mann Road and Berea Church Road addresses</w:t>
      </w:r>
      <w:r w:rsidRPr="009016B9">
        <w:rPr>
          <w:rFonts w:eastAsia="Times New Roman" w:cstheme="minorHAnsi"/>
        </w:rPr>
        <w:t xml:space="preserve"> from the final ranking matrix</w:t>
      </w:r>
      <w:r>
        <w:rPr>
          <w:rFonts w:eastAsia="Times New Roman" w:cstheme="minorHAnsi"/>
        </w:rPr>
        <w:t>.</w:t>
      </w:r>
    </w:p>
    <w:p w14:paraId="49D18432" w14:textId="77777777" w:rsidR="00601555" w:rsidRDefault="00601555" w:rsidP="00601555">
      <w:pPr>
        <w:numPr>
          <w:ilvl w:val="0"/>
          <w:numId w:val="8"/>
        </w:numPr>
        <w:spacing w:before="100" w:beforeAutospacing="1" w:after="100" w:afterAutospacing="1"/>
        <w:rPr>
          <w:rFonts w:eastAsia="Times New Roman" w:cstheme="minorHAnsi"/>
        </w:rPr>
      </w:pPr>
      <w:r w:rsidRPr="009016B9">
        <w:rPr>
          <w:rFonts w:eastAsia="Times New Roman" w:cstheme="minorHAnsi"/>
        </w:rPr>
        <w:t>Prioritize alternative industrial or non-residential zones (such as the Rockwood Sustainable Solutions or Alley-Cassetty footprints) that feature direct access to state highways and existing industrial utility hubs, preventing the destruction of residential property values and neighborhood safety</w:t>
      </w:r>
      <w:r>
        <w:rPr>
          <w:rFonts w:eastAsia="Times New Roman" w:cstheme="minorHAnsi"/>
        </w:rPr>
        <w:t>.</w:t>
      </w:r>
    </w:p>
    <w:p w14:paraId="05C95D17" w14:textId="77777777" w:rsidR="00601555" w:rsidRDefault="00601555" w:rsidP="00601555">
      <w:r>
        <w:t xml:space="preserve">A complete and current record of all signatories endorsing this statement can be found in the attached </w:t>
      </w:r>
      <w:r w:rsidRPr="00617C78">
        <w:rPr>
          <w:rStyle w:val="Strong"/>
          <w:rFonts w:ascii="Roboto" w:hAnsi="Roboto"/>
        </w:rPr>
        <w:t>Appendix A</w:t>
      </w:r>
      <w:r w:rsidRPr="00617C78">
        <w:rPr>
          <w:rStyle w:val="Strong"/>
          <w:rFonts w:ascii="Roboto" w:hAnsi="Roboto"/>
          <w:b w:val="0"/>
        </w:rPr>
        <w:t>.</w:t>
      </w:r>
    </w:p>
    <w:p w14:paraId="789C1B31" w14:textId="77777777" w:rsidR="00621DA1" w:rsidRDefault="00621DA1"/>
    <w:sectPr w:rsidR="00621DA1" w:rsidSect="008573A4">
      <w:headerReference w:type="even" r:id="rId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304F1" w14:textId="77777777" w:rsidR="00235C26" w:rsidRDefault="00235C26" w:rsidP="00601555">
      <w:r>
        <w:separator/>
      </w:r>
    </w:p>
  </w:endnote>
  <w:endnote w:type="continuationSeparator" w:id="0">
    <w:p w14:paraId="570001F3" w14:textId="77777777" w:rsidR="00235C26" w:rsidRDefault="00235C26" w:rsidP="0060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ArialMT">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02603" w14:textId="77777777" w:rsidR="00235C26" w:rsidRDefault="00235C26" w:rsidP="00601555">
      <w:r>
        <w:separator/>
      </w:r>
    </w:p>
  </w:footnote>
  <w:footnote w:type="continuationSeparator" w:id="0">
    <w:p w14:paraId="51978DCD" w14:textId="77777777" w:rsidR="00235C26" w:rsidRDefault="00235C26" w:rsidP="0060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7913765"/>
      <w:docPartObj>
        <w:docPartGallery w:val="Page Numbers (Top of Page)"/>
        <w:docPartUnique/>
      </w:docPartObj>
    </w:sdtPr>
    <w:sdtContent>
      <w:p w14:paraId="5EDCCFC2" w14:textId="25FA1C2A" w:rsidR="00601555" w:rsidRDefault="00601555" w:rsidP="00C766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5D7F25" w14:textId="77777777" w:rsidR="00601555" w:rsidRDefault="00601555" w:rsidP="006015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3208288"/>
      <w:docPartObj>
        <w:docPartGallery w:val="Page Numbers (Top of Page)"/>
        <w:docPartUnique/>
      </w:docPartObj>
    </w:sdtPr>
    <w:sdtContent>
      <w:p w14:paraId="3A682E88" w14:textId="6DA43DEA" w:rsidR="00601555" w:rsidRDefault="00601555" w:rsidP="00C766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E48459" w14:textId="77777777" w:rsidR="00601555" w:rsidRDefault="00601555" w:rsidP="0060155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11C"/>
    <w:multiLevelType w:val="multilevel"/>
    <w:tmpl w:val="3C3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A26D6"/>
    <w:multiLevelType w:val="multilevel"/>
    <w:tmpl w:val="30A0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D515F7"/>
    <w:multiLevelType w:val="multilevel"/>
    <w:tmpl w:val="C684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72460"/>
    <w:multiLevelType w:val="multilevel"/>
    <w:tmpl w:val="472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C6734F"/>
    <w:multiLevelType w:val="multilevel"/>
    <w:tmpl w:val="F2FA1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91773"/>
    <w:multiLevelType w:val="multilevel"/>
    <w:tmpl w:val="AEF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40199"/>
    <w:multiLevelType w:val="multilevel"/>
    <w:tmpl w:val="05FA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2F4D73"/>
    <w:multiLevelType w:val="multilevel"/>
    <w:tmpl w:val="D72C6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2383995">
    <w:abstractNumId w:val="3"/>
  </w:num>
  <w:num w:numId="2" w16cid:durableId="1947421990">
    <w:abstractNumId w:val="5"/>
  </w:num>
  <w:num w:numId="3" w16cid:durableId="1920558440">
    <w:abstractNumId w:val="2"/>
  </w:num>
  <w:num w:numId="4" w16cid:durableId="128986063">
    <w:abstractNumId w:val="4"/>
  </w:num>
  <w:num w:numId="5" w16cid:durableId="1891719834">
    <w:abstractNumId w:val="6"/>
  </w:num>
  <w:num w:numId="6" w16cid:durableId="271283472">
    <w:abstractNumId w:val="0"/>
  </w:num>
  <w:num w:numId="7" w16cid:durableId="1251355487">
    <w:abstractNumId w:val="7"/>
  </w:num>
  <w:num w:numId="8" w16cid:durableId="277030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55"/>
    <w:rsid w:val="00235C26"/>
    <w:rsid w:val="00441FFE"/>
    <w:rsid w:val="00541928"/>
    <w:rsid w:val="005B0CDB"/>
    <w:rsid w:val="00601555"/>
    <w:rsid w:val="00621DA1"/>
    <w:rsid w:val="00821E22"/>
    <w:rsid w:val="008573A4"/>
    <w:rsid w:val="00881CE1"/>
    <w:rsid w:val="008F0520"/>
    <w:rsid w:val="0092081D"/>
    <w:rsid w:val="00A723D2"/>
    <w:rsid w:val="00A82190"/>
    <w:rsid w:val="00B00476"/>
    <w:rsid w:val="00DE0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45C0"/>
  <w15:chartTrackingRefBased/>
  <w15:docId w15:val="{A9EA6DEB-5E9F-294D-B5E9-7055FFDE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555"/>
    <w:pPr>
      <w:spacing w:after="0" w:line="240" w:lineRule="auto"/>
    </w:pPr>
    <w:rPr>
      <w:kern w:val="0"/>
      <w14:ligatures w14:val="none"/>
    </w:rPr>
  </w:style>
  <w:style w:type="paragraph" w:styleId="Heading1">
    <w:name w:val="heading 1"/>
    <w:basedOn w:val="Normal"/>
    <w:next w:val="Normal"/>
    <w:link w:val="Heading1Char"/>
    <w:uiPriority w:val="9"/>
    <w:qFormat/>
    <w:rsid w:val="006015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5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5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5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5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5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5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5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5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5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5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5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5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5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555"/>
    <w:rPr>
      <w:rFonts w:eastAsiaTheme="majorEastAsia" w:cstheme="majorBidi"/>
      <w:color w:val="272727" w:themeColor="text1" w:themeTint="D8"/>
    </w:rPr>
  </w:style>
  <w:style w:type="paragraph" w:styleId="Title">
    <w:name w:val="Title"/>
    <w:basedOn w:val="Normal"/>
    <w:next w:val="Normal"/>
    <w:link w:val="TitleChar"/>
    <w:uiPriority w:val="10"/>
    <w:qFormat/>
    <w:rsid w:val="006015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5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5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555"/>
    <w:pPr>
      <w:spacing w:before="160"/>
      <w:jc w:val="center"/>
    </w:pPr>
    <w:rPr>
      <w:i/>
      <w:iCs/>
      <w:color w:val="404040" w:themeColor="text1" w:themeTint="BF"/>
    </w:rPr>
  </w:style>
  <w:style w:type="character" w:customStyle="1" w:styleId="QuoteChar">
    <w:name w:val="Quote Char"/>
    <w:basedOn w:val="DefaultParagraphFont"/>
    <w:link w:val="Quote"/>
    <w:uiPriority w:val="29"/>
    <w:rsid w:val="00601555"/>
    <w:rPr>
      <w:i/>
      <w:iCs/>
      <w:color w:val="404040" w:themeColor="text1" w:themeTint="BF"/>
    </w:rPr>
  </w:style>
  <w:style w:type="paragraph" w:styleId="ListParagraph">
    <w:name w:val="List Paragraph"/>
    <w:basedOn w:val="Normal"/>
    <w:uiPriority w:val="34"/>
    <w:qFormat/>
    <w:rsid w:val="00601555"/>
    <w:pPr>
      <w:ind w:left="720"/>
      <w:contextualSpacing/>
    </w:pPr>
  </w:style>
  <w:style w:type="character" w:styleId="IntenseEmphasis">
    <w:name w:val="Intense Emphasis"/>
    <w:basedOn w:val="DefaultParagraphFont"/>
    <w:uiPriority w:val="21"/>
    <w:qFormat/>
    <w:rsid w:val="00601555"/>
    <w:rPr>
      <w:i/>
      <w:iCs/>
      <w:color w:val="2F5496" w:themeColor="accent1" w:themeShade="BF"/>
    </w:rPr>
  </w:style>
  <w:style w:type="paragraph" w:styleId="IntenseQuote">
    <w:name w:val="Intense Quote"/>
    <w:basedOn w:val="Normal"/>
    <w:next w:val="Normal"/>
    <w:link w:val="IntenseQuoteChar"/>
    <w:uiPriority w:val="30"/>
    <w:qFormat/>
    <w:rsid w:val="006015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555"/>
    <w:rPr>
      <w:i/>
      <w:iCs/>
      <w:color w:val="2F5496" w:themeColor="accent1" w:themeShade="BF"/>
    </w:rPr>
  </w:style>
  <w:style w:type="character" w:styleId="IntenseReference">
    <w:name w:val="Intense Reference"/>
    <w:basedOn w:val="DefaultParagraphFont"/>
    <w:uiPriority w:val="32"/>
    <w:qFormat/>
    <w:rsid w:val="00601555"/>
    <w:rPr>
      <w:b/>
      <w:bCs/>
      <w:smallCaps/>
      <w:color w:val="2F5496" w:themeColor="accent1" w:themeShade="BF"/>
      <w:spacing w:val="5"/>
    </w:rPr>
  </w:style>
  <w:style w:type="character" w:styleId="Strong">
    <w:name w:val="Strong"/>
    <w:basedOn w:val="DefaultParagraphFont"/>
    <w:uiPriority w:val="22"/>
    <w:qFormat/>
    <w:rsid w:val="00601555"/>
    <w:rPr>
      <w:b/>
      <w:bCs/>
    </w:rPr>
  </w:style>
  <w:style w:type="paragraph" w:styleId="Header">
    <w:name w:val="header"/>
    <w:basedOn w:val="Normal"/>
    <w:link w:val="HeaderChar"/>
    <w:uiPriority w:val="99"/>
    <w:unhideWhenUsed/>
    <w:rsid w:val="00601555"/>
    <w:pPr>
      <w:tabs>
        <w:tab w:val="center" w:pos="4680"/>
        <w:tab w:val="right" w:pos="9360"/>
      </w:tabs>
    </w:pPr>
  </w:style>
  <w:style w:type="character" w:customStyle="1" w:styleId="HeaderChar">
    <w:name w:val="Header Char"/>
    <w:basedOn w:val="DefaultParagraphFont"/>
    <w:link w:val="Header"/>
    <w:uiPriority w:val="99"/>
    <w:rsid w:val="00601555"/>
    <w:rPr>
      <w:kern w:val="0"/>
      <w14:ligatures w14:val="none"/>
    </w:rPr>
  </w:style>
  <w:style w:type="paragraph" w:styleId="Footer">
    <w:name w:val="footer"/>
    <w:basedOn w:val="Normal"/>
    <w:link w:val="FooterChar"/>
    <w:uiPriority w:val="99"/>
    <w:unhideWhenUsed/>
    <w:rsid w:val="00601555"/>
    <w:pPr>
      <w:tabs>
        <w:tab w:val="center" w:pos="4680"/>
        <w:tab w:val="right" w:pos="9360"/>
      </w:tabs>
    </w:pPr>
  </w:style>
  <w:style w:type="character" w:customStyle="1" w:styleId="FooterChar">
    <w:name w:val="Footer Char"/>
    <w:basedOn w:val="DefaultParagraphFont"/>
    <w:link w:val="Footer"/>
    <w:uiPriority w:val="99"/>
    <w:rsid w:val="00601555"/>
    <w:rPr>
      <w:kern w:val="0"/>
      <w14:ligatures w14:val="none"/>
    </w:rPr>
  </w:style>
  <w:style w:type="character" w:styleId="PageNumber">
    <w:name w:val="page number"/>
    <w:basedOn w:val="DefaultParagraphFont"/>
    <w:uiPriority w:val="99"/>
    <w:semiHidden/>
    <w:unhideWhenUsed/>
    <w:rsid w:val="00601555"/>
  </w:style>
  <w:style w:type="character" w:customStyle="1" w:styleId="apple-converted-space">
    <w:name w:val="apple-converted-space"/>
    <w:basedOn w:val="DefaultParagraphFont"/>
    <w:rsid w:val="00821E22"/>
  </w:style>
  <w:style w:type="character" w:styleId="Emphasis">
    <w:name w:val="Emphasis"/>
    <w:basedOn w:val="DefaultParagraphFont"/>
    <w:uiPriority w:val="20"/>
    <w:qFormat/>
    <w:rsid w:val="00821E22"/>
    <w:rPr>
      <w:i/>
      <w:iCs/>
    </w:rPr>
  </w:style>
  <w:style w:type="character" w:styleId="Hyperlink">
    <w:name w:val="Hyperlink"/>
    <w:basedOn w:val="DefaultParagraphFont"/>
    <w:uiPriority w:val="99"/>
    <w:semiHidden/>
    <w:unhideWhenUsed/>
    <w:rsid w:val="00821E22"/>
    <w:rPr>
      <w:color w:val="0000FF"/>
      <w:u w:val="single"/>
    </w:rPr>
  </w:style>
  <w:style w:type="character" w:styleId="FollowedHyperlink">
    <w:name w:val="FollowedHyperlink"/>
    <w:basedOn w:val="DefaultParagraphFont"/>
    <w:uiPriority w:val="99"/>
    <w:semiHidden/>
    <w:unhideWhenUsed/>
    <w:rsid w:val="00821E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2210670723005103" TargetMode="External"/><Relationship Id="rId3" Type="http://schemas.openxmlformats.org/officeDocument/2006/relationships/settings" Target="settings.xml"/><Relationship Id="rId7" Type="http://schemas.openxmlformats.org/officeDocument/2006/relationships/hyperlink" Target="https://www.mdpi.com/2073-4433/16/5/57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1480</Words>
  <Characters>8442</Characters>
  <Application>Microsoft Office Word</Application>
  <DocSecurity>0</DocSecurity>
  <Lines>70</Lines>
  <Paragraphs>19</Paragraphs>
  <ScaleCrop>false</ScaleCrop>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tich chaikumnerd</dc:creator>
  <cp:keywords/>
  <dc:description/>
  <cp:lastModifiedBy>tich chaikumnerd</cp:lastModifiedBy>
  <cp:revision>3</cp:revision>
  <cp:lastPrinted>2026-05-27T02:04:00Z</cp:lastPrinted>
  <dcterms:created xsi:type="dcterms:W3CDTF">2026-05-27T01:59:00Z</dcterms:created>
  <dcterms:modified xsi:type="dcterms:W3CDTF">2026-05-27T02:15:00Z</dcterms:modified>
</cp:coreProperties>
</file>